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9D4CCE"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 xml:space="preserve">AVISO DE PRIVACIDAD </w:t>
      </w: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INTEGRAL</w: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 w:rsidR="00767010" w:rsidRPr="009D4CCE" w:rsidRDefault="00BC7DA7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132E8F"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5AD0" wp14:editId="49EF9C6D">
                <wp:simplePos x="0" y="0"/>
                <wp:positionH relativeFrom="column">
                  <wp:posOffset>616784</wp:posOffset>
                </wp:positionH>
                <wp:positionV relativeFrom="paragraph">
                  <wp:posOffset>7620</wp:posOffset>
                </wp:positionV>
                <wp:extent cx="5192973" cy="419100"/>
                <wp:effectExtent l="0" t="0" r="2730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973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10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DIRECCIÓN DE </w:t>
                            </w:r>
                            <w:r w:rsidR="00E52B0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ADMINISTRACIÓN</w:t>
                            </w:r>
                          </w:p>
                          <w:p w:rsidR="0073773A" w:rsidRPr="00A34CDD" w:rsidRDefault="00C87382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OFICIALÍA DE PARTES</w:t>
                            </w:r>
                          </w:p>
                          <w:p w:rsidR="00767010" w:rsidRPr="000E398E" w:rsidRDefault="00767010" w:rsidP="0076701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.55pt;margin-top:.6pt;width:408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DIRECCIÓN DE </w:t>
                      </w:r>
                      <w:r w:rsidR="00E52B0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ADMINISTRACIÓN</w:t>
                      </w:r>
                    </w:p>
                    <w:p w:rsidR="0073773A" w:rsidRPr="00A34CDD" w:rsidRDefault="00C87382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OFICIALÍA DE PARTES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7F5375" w:rsidRDefault="00767010" w:rsidP="00767010"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 w:rsidR="00767010" w:rsidRPr="00A83318" w:rsidRDefault="00767010" w:rsidP="00767010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 w:rsidRPr="00A83318"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., página web: </w:t>
      </w:r>
      <w:hyperlink r:id="rId8" w:history="1">
        <w:r w:rsidR="00531AA0" w:rsidRPr="00531AA0">
          <w:rPr>
            <w:rStyle w:val="Hipervnculo"/>
            <w:rFonts w:ascii="Verdana" w:eastAsia="Verdana" w:hAnsi="Verdana" w:cs="Verdana"/>
            <w:sz w:val="18"/>
            <w:szCs w:val="18"/>
            <w:lang w:val="es-MX"/>
          </w:rPr>
          <w:t>http://seech.gob.mx</w:t>
        </w:r>
      </w:hyperlink>
      <w:r w:rsidRPr="00A83318">
        <w:rPr>
          <w:rFonts w:ascii="Verdana" w:eastAsia="Verdana" w:hAnsi="Verdana" w:cs="Verdana"/>
          <w:sz w:val="18"/>
          <w:szCs w:val="18"/>
          <w:lang w:val="es-MX"/>
        </w:rPr>
        <w:t>, teléfono (614)429-13-35;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 w:rsidR="00AB5747" w:rsidRPr="00A83318" w:rsidRDefault="00AB5747" w:rsidP="00AB5747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Puede ser cualquier dato personal que se encuentre dentro del cuerpo del oficio o documento recibido, como pueden ser datos de identificación, datos de contacto, datos laborales, datos sobre características físicas, datos académicos, datos patrimoniales o financieros y datos biométricos.</w:t>
      </w:r>
    </w:p>
    <w:p w:rsidR="00767010" w:rsidRPr="00A83318" w:rsidRDefault="00767010" w:rsidP="00767010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 w:rsidR="005B7631" w:rsidRPr="00A83318" w:rsidRDefault="00E52B04" w:rsidP="005B7631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podrán recabar datos de salud y datos de origen étnico o racial.</w:t>
      </w:r>
    </w:p>
    <w:p w:rsidR="00767010" w:rsidRPr="00A83318" w:rsidRDefault="00767010" w:rsidP="00A83318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hAnsi="Verdana"/>
          <w:sz w:val="18"/>
          <w:szCs w:val="18"/>
        </w:rPr>
        <w:t xml:space="preserve"> 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 w:rsidR="00767010" w:rsidRPr="00A83318" w:rsidRDefault="00C87382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Para el registro de correspondencia recibida</w:t>
      </w:r>
      <w:r w:rsidR="00E52B04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en la Oficialía de Partes de Servicios Educativos del Estado de Chihuahua, </w:t>
      </w:r>
      <w:r w:rsidR="00C33842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los cuales se</w:t>
      </w: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ingresan al Sistema Administrativo de Correspondencia Institucional (SACI) para su envío a </w:t>
      </w:r>
      <w:r w:rsidR="00E52B04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las diferentes unidades administrativas</w:t>
      </w:r>
      <w:r w:rsidR="00C33842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del Organismo</w:t>
      </w:r>
      <w:r w:rsidR="00E52B04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para su atención correspondiente.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 w:rsidR="00767010" w:rsidRPr="00A83318" w:rsidRDefault="00767010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No se realizarán transferencias de datos personales, salvo aquellas que sean necesarias para atender requerimientos de información de una autoridad competente, que estén debidamente fundados y motivados. </w:t>
      </w:r>
    </w:p>
    <w:p w:rsidR="00767010" w:rsidRPr="00A83318" w:rsidRDefault="00767010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  <w:r w:rsidR="006708A2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 y de Portabilidad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Usted podrá ejercer sus derechos de Acc</w:t>
      </w:r>
      <w:r w:rsidR="006708A2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eso, Rectificación, Cancelación y</w:t>
      </w: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Oposición </w:t>
      </w:r>
      <w:r w:rsidR="006708A2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(ARCO)</w:t>
      </w:r>
      <w:r w:rsidR="00877EEC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,</w:t>
      </w:r>
      <w:bookmarkStart w:id="0" w:name="_GoBack"/>
      <w:bookmarkEnd w:id="0"/>
      <w:r w:rsidR="006708A2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así como de </w:t>
      </w: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Portabilidad de datos personales,  directamente ante la Unidad de Transparencia de este Organismo, ubicada en la Av. Antonio de Montes No. 4700, Col. Panamericana, C.P. 31200, Chihuahua, </w:t>
      </w:r>
      <w:proofErr w:type="spellStart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sz w:val="18"/>
          <w:szCs w:val="18"/>
          <w:lang w:val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Cambios al Aviso de Privacidad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1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 w:rsidR="00767010" w:rsidRPr="00A83318" w:rsidRDefault="0076701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2D3800" w:rsidRPr="00A83318" w:rsidRDefault="00A83318" w:rsidP="007C1BCF"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 w:rsidRPr="00A83318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 xml:space="preserve">Fecha de Elaboración: </w:t>
      </w:r>
      <w:r w:rsidR="00877EEC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23</w:t>
      </w:r>
      <w:r w:rsidR="0073773A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/02/2023</w:t>
      </w:r>
    </w:p>
    <w:sectPr w:rsidR="002D3800" w:rsidRPr="00A83318" w:rsidSect="002F06C4"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12" w:rsidRDefault="00387012" w:rsidP="0092286C">
      <w:pPr>
        <w:spacing w:after="0" w:line="240" w:lineRule="auto"/>
      </w:pPr>
      <w:r>
        <w:separator/>
      </w:r>
    </w:p>
  </w:endnote>
  <w:endnote w:type="continuationSeparator" w:id="0">
    <w:p w:rsidR="00387012" w:rsidRDefault="00387012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12" w:rsidRDefault="00387012" w:rsidP="0092286C">
      <w:pPr>
        <w:spacing w:after="0" w:line="240" w:lineRule="auto"/>
      </w:pPr>
      <w:r>
        <w:separator/>
      </w:r>
    </w:p>
  </w:footnote>
  <w:footnote w:type="continuationSeparator" w:id="0">
    <w:p w:rsidR="00387012" w:rsidRDefault="00387012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4C3726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F9F5D0" wp14:editId="4757E6C8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726" w:rsidRDefault="004C3726" w:rsidP="004C3726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01F413" wp14:editId="36FD3BD8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BED9720" wp14:editId="54CB6F4E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14E91"/>
    <w:rsid w:val="000336E9"/>
    <w:rsid w:val="00036914"/>
    <w:rsid w:val="00062DFC"/>
    <w:rsid w:val="000C3AE7"/>
    <w:rsid w:val="00100216"/>
    <w:rsid w:val="00137E68"/>
    <w:rsid w:val="00143911"/>
    <w:rsid w:val="00146B85"/>
    <w:rsid w:val="001616EB"/>
    <w:rsid w:val="0018428C"/>
    <w:rsid w:val="001C7935"/>
    <w:rsid w:val="001E42A2"/>
    <w:rsid w:val="001E711A"/>
    <w:rsid w:val="00204D36"/>
    <w:rsid w:val="002261F4"/>
    <w:rsid w:val="0027297B"/>
    <w:rsid w:val="00294D23"/>
    <w:rsid w:val="002A413C"/>
    <w:rsid w:val="002B7EFC"/>
    <w:rsid w:val="002C0AF9"/>
    <w:rsid w:val="002D3800"/>
    <w:rsid w:val="002E1BDB"/>
    <w:rsid w:val="002F06C4"/>
    <w:rsid w:val="002F2C7F"/>
    <w:rsid w:val="0033514E"/>
    <w:rsid w:val="0034783E"/>
    <w:rsid w:val="0036118B"/>
    <w:rsid w:val="0036197F"/>
    <w:rsid w:val="00387012"/>
    <w:rsid w:val="0039287D"/>
    <w:rsid w:val="00393440"/>
    <w:rsid w:val="003C27C5"/>
    <w:rsid w:val="003D1D03"/>
    <w:rsid w:val="003D3029"/>
    <w:rsid w:val="00414F50"/>
    <w:rsid w:val="004669B7"/>
    <w:rsid w:val="00472F60"/>
    <w:rsid w:val="00496B21"/>
    <w:rsid w:val="004A4FE6"/>
    <w:rsid w:val="004C3726"/>
    <w:rsid w:val="00504A01"/>
    <w:rsid w:val="00504A3C"/>
    <w:rsid w:val="00504A60"/>
    <w:rsid w:val="00516F41"/>
    <w:rsid w:val="00531AA0"/>
    <w:rsid w:val="005512C9"/>
    <w:rsid w:val="0055747C"/>
    <w:rsid w:val="005A0217"/>
    <w:rsid w:val="005B7063"/>
    <w:rsid w:val="005B7631"/>
    <w:rsid w:val="005C6B78"/>
    <w:rsid w:val="005D7FDA"/>
    <w:rsid w:val="005E049D"/>
    <w:rsid w:val="005F3C05"/>
    <w:rsid w:val="006071F4"/>
    <w:rsid w:val="00627F69"/>
    <w:rsid w:val="006708A2"/>
    <w:rsid w:val="00677540"/>
    <w:rsid w:val="0069008C"/>
    <w:rsid w:val="00690B7C"/>
    <w:rsid w:val="006C1D48"/>
    <w:rsid w:val="006D47CD"/>
    <w:rsid w:val="006E4D6F"/>
    <w:rsid w:val="006F4E7F"/>
    <w:rsid w:val="006F538F"/>
    <w:rsid w:val="00713135"/>
    <w:rsid w:val="00725BE0"/>
    <w:rsid w:val="00726441"/>
    <w:rsid w:val="00727D1E"/>
    <w:rsid w:val="0073773A"/>
    <w:rsid w:val="00746278"/>
    <w:rsid w:val="0075662C"/>
    <w:rsid w:val="00760606"/>
    <w:rsid w:val="00761553"/>
    <w:rsid w:val="00767010"/>
    <w:rsid w:val="007964C5"/>
    <w:rsid w:val="007C1BCF"/>
    <w:rsid w:val="007C1E70"/>
    <w:rsid w:val="007C7B6F"/>
    <w:rsid w:val="007E77B9"/>
    <w:rsid w:val="007F615B"/>
    <w:rsid w:val="0081312D"/>
    <w:rsid w:val="00843B6E"/>
    <w:rsid w:val="00845BFD"/>
    <w:rsid w:val="00853293"/>
    <w:rsid w:val="00877EEC"/>
    <w:rsid w:val="00887B5E"/>
    <w:rsid w:val="008A515A"/>
    <w:rsid w:val="008A70F6"/>
    <w:rsid w:val="008A7587"/>
    <w:rsid w:val="008B5DF4"/>
    <w:rsid w:val="008D3818"/>
    <w:rsid w:val="008F6224"/>
    <w:rsid w:val="0090477A"/>
    <w:rsid w:val="00906E84"/>
    <w:rsid w:val="00907265"/>
    <w:rsid w:val="00916870"/>
    <w:rsid w:val="0092286C"/>
    <w:rsid w:val="00927C98"/>
    <w:rsid w:val="009329B6"/>
    <w:rsid w:val="00933C95"/>
    <w:rsid w:val="00962F6D"/>
    <w:rsid w:val="0097337C"/>
    <w:rsid w:val="00977096"/>
    <w:rsid w:val="00997877"/>
    <w:rsid w:val="009A2052"/>
    <w:rsid w:val="009A7933"/>
    <w:rsid w:val="009B3445"/>
    <w:rsid w:val="009C1E30"/>
    <w:rsid w:val="009C72AC"/>
    <w:rsid w:val="009F30AA"/>
    <w:rsid w:val="00A01831"/>
    <w:rsid w:val="00A052A6"/>
    <w:rsid w:val="00A20E35"/>
    <w:rsid w:val="00A23E3A"/>
    <w:rsid w:val="00A27A7D"/>
    <w:rsid w:val="00A34CDD"/>
    <w:rsid w:val="00A56765"/>
    <w:rsid w:val="00A56D3A"/>
    <w:rsid w:val="00A57330"/>
    <w:rsid w:val="00A61BCA"/>
    <w:rsid w:val="00A83318"/>
    <w:rsid w:val="00AB5747"/>
    <w:rsid w:val="00AC2864"/>
    <w:rsid w:val="00AC302A"/>
    <w:rsid w:val="00AD23B7"/>
    <w:rsid w:val="00AE72BC"/>
    <w:rsid w:val="00B04239"/>
    <w:rsid w:val="00B33346"/>
    <w:rsid w:val="00B92DE8"/>
    <w:rsid w:val="00BA0A8B"/>
    <w:rsid w:val="00BB234A"/>
    <w:rsid w:val="00BC7DA7"/>
    <w:rsid w:val="00BD6686"/>
    <w:rsid w:val="00BE2934"/>
    <w:rsid w:val="00BF469C"/>
    <w:rsid w:val="00BF66DC"/>
    <w:rsid w:val="00C143C8"/>
    <w:rsid w:val="00C27DA1"/>
    <w:rsid w:val="00C33842"/>
    <w:rsid w:val="00C434DC"/>
    <w:rsid w:val="00C51144"/>
    <w:rsid w:val="00C720AB"/>
    <w:rsid w:val="00C72118"/>
    <w:rsid w:val="00C73CD7"/>
    <w:rsid w:val="00C87382"/>
    <w:rsid w:val="00CB72BE"/>
    <w:rsid w:val="00CC0696"/>
    <w:rsid w:val="00CD0CB0"/>
    <w:rsid w:val="00CD2190"/>
    <w:rsid w:val="00CD4D69"/>
    <w:rsid w:val="00CE3B6A"/>
    <w:rsid w:val="00D36B25"/>
    <w:rsid w:val="00D5157D"/>
    <w:rsid w:val="00D54736"/>
    <w:rsid w:val="00D86996"/>
    <w:rsid w:val="00D92AE1"/>
    <w:rsid w:val="00DB3211"/>
    <w:rsid w:val="00DB7C6D"/>
    <w:rsid w:val="00DC5A5C"/>
    <w:rsid w:val="00DC6ECD"/>
    <w:rsid w:val="00DD0F20"/>
    <w:rsid w:val="00DF00F5"/>
    <w:rsid w:val="00E12CC3"/>
    <w:rsid w:val="00E15F7F"/>
    <w:rsid w:val="00E172CE"/>
    <w:rsid w:val="00E21D35"/>
    <w:rsid w:val="00E258C4"/>
    <w:rsid w:val="00E37A2F"/>
    <w:rsid w:val="00E52B04"/>
    <w:rsid w:val="00E55B68"/>
    <w:rsid w:val="00E60931"/>
    <w:rsid w:val="00E60B23"/>
    <w:rsid w:val="00E61331"/>
    <w:rsid w:val="00E62EC3"/>
    <w:rsid w:val="00E6557D"/>
    <w:rsid w:val="00E80BFE"/>
    <w:rsid w:val="00E87A39"/>
    <w:rsid w:val="00E97CFF"/>
    <w:rsid w:val="00EA42BA"/>
    <w:rsid w:val="00EC1FF0"/>
    <w:rsid w:val="00ED11E8"/>
    <w:rsid w:val="00ED53C3"/>
    <w:rsid w:val="00F07A1D"/>
    <w:rsid w:val="00F10079"/>
    <w:rsid w:val="00F41596"/>
    <w:rsid w:val="00F55DC9"/>
    <w:rsid w:val="00F667B9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627F6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6206-ED74-446B-AF8C-1C297BDA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9</cp:revision>
  <cp:lastPrinted>2023-02-03T19:21:00Z</cp:lastPrinted>
  <dcterms:created xsi:type="dcterms:W3CDTF">2023-02-08T15:03:00Z</dcterms:created>
  <dcterms:modified xsi:type="dcterms:W3CDTF">2023-02-23T16:08:00Z</dcterms:modified>
</cp:coreProperties>
</file>